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89" w:rsidRDefault="00E75489">
      <w:pPr>
        <w:rPr>
          <w:rFonts w:cs="Arial"/>
          <w:color w:val="0083C1" w:themeColor="background1"/>
          <w:sz w:val="24"/>
        </w:rPr>
      </w:pPr>
    </w:p>
    <w:p w:rsidR="005250A2" w:rsidRDefault="005250A2" w:rsidP="001C4C72">
      <w:pPr>
        <w:rPr>
          <w:rFonts w:cs="Arial"/>
          <w:color w:val="0083C1" w:themeColor="background1"/>
          <w:sz w:val="24"/>
        </w:rPr>
      </w:pPr>
    </w:p>
    <w:tbl>
      <w:tblPr>
        <w:tblStyle w:val="TableGrid"/>
        <w:tblpPr w:leftFromText="180" w:rightFromText="180" w:horzAnchor="margin" w:tblpXSpec="center" w:tblpY="450"/>
        <w:tblW w:w="6750" w:type="dxa"/>
        <w:tblBorders>
          <w:top w:val="single" w:sz="4" w:space="0" w:color="0083C1" w:themeColor="background1"/>
          <w:left w:val="single" w:sz="4" w:space="0" w:color="0083C1" w:themeColor="background1"/>
          <w:bottom w:val="single" w:sz="4" w:space="0" w:color="0083C1" w:themeColor="background1"/>
          <w:right w:val="single" w:sz="4" w:space="0" w:color="0083C1" w:themeColor="background1"/>
          <w:insideH w:val="single" w:sz="4" w:space="0" w:color="0083C1" w:themeColor="background1"/>
          <w:insideV w:val="single" w:sz="4" w:space="0" w:color="0083C1" w:themeColor="background1"/>
        </w:tblBorders>
        <w:shd w:val="clear" w:color="auto" w:fill="40C1FF" w:themeFill="background1" w:themeFillTint="99"/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6750"/>
      </w:tblGrid>
      <w:tr w:rsidR="00E75489" w:rsidTr="00E377BC">
        <w:trPr>
          <w:trHeight w:val="868"/>
        </w:trPr>
        <w:tc>
          <w:tcPr>
            <w:tcW w:w="6750" w:type="dxa"/>
            <w:shd w:val="clear" w:color="auto" w:fill="auto"/>
          </w:tcPr>
          <w:p w:rsidR="00697C9D" w:rsidRDefault="000B0AC3" w:rsidP="00DE4FAC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 Light" w:hAnsi="Calibri Light"/>
                <w:b/>
                <w:color w:val="0083C1" w:themeColor="background1"/>
                <w:sz w:val="40"/>
              </w:rPr>
            </w:pPr>
            <w:r>
              <w:rPr>
                <w:rFonts w:ascii="Calibri Light" w:hAnsi="Calibri Light"/>
                <w:b/>
                <w:color w:val="0083C1" w:themeColor="background1"/>
                <w:sz w:val="40"/>
              </w:rPr>
              <w:t>VRV на Daik</w:t>
            </w:r>
            <w:r w:rsidR="00697C9D">
              <w:rPr>
                <w:rFonts w:ascii="Calibri Light" w:hAnsi="Calibri Light"/>
                <w:b/>
                <w:color w:val="0083C1" w:themeColor="background1"/>
                <w:sz w:val="40"/>
              </w:rPr>
              <w:t xml:space="preserve">in представя </w:t>
            </w:r>
          </w:p>
          <w:p w:rsidR="000B0AC3" w:rsidRDefault="00697C9D" w:rsidP="00DE4FAC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 Light" w:hAnsi="Calibri Light" w:cs="Arial"/>
                <w:b/>
                <w:color w:val="0083C1" w:themeColor="background1"/>
                <w:sz w:val="40"/>
                <w:szCs w:val="40"/>
              </w:rPr>
            </w:pPr>
            <w:r>
              <w:rPr>
                <w:rFonts w:ascii="Calibri Light" w:hAnsi="Calibri Light"/>
                <w:b/>
                <w:color w:val="0083C1" w:themeColor="background1"/>
                <w:sz w:val="40"/>
              </w:rPr>
              <w:t>„дискретно отоплени</w:t>
            </w:r>
            <w:r w:rsidR="000B0AC3">
              <w:rPr>
                <w:rFonts w:ascii="Calibri Light" w:hAnsi="Calibri Light"/>
                <w:b/>
                <w:color w:val="0083C1" w:themeColor="background1"/>
                <w:sz w:val="40"/>
              </w:rPr>
              <w:t xml:space="preserve">е“ </w:t>
            </w:r>
          </w:p>
          <w:p w:rsidR="00E75489" w:rsidRPr="000B0AC3" w:rsidRDefault="000B0AC3" w:rsidP="00DE4FAC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 Light" w:hAnsi="Calibri Light" w:cs="Arial"/>
                <w:b/>
                <w:color w:val="0083C1" w:themeColor="background1"/>
                <w:sz w:val="40"/>
                <w:szCs w:val="40"/>
              </w:rPr>
            </w:pPr>
            <w:r>
              <w:rPr>
                <w:rFonts w:ascii="Calibri Light" w:hAnsi="Calibri Light"/>
                <w:b/>
                <w:color w:val="0083C1" w:themeColor="background1"/>
                <w:sz w:val="40"/>
              </w:rPr>
              <w:t>в лондонския квартал Уестенд</w:t>
            </w:r>
          </w:p>
          <w:p w:rsidR="00E377BC" w:rsidRPr="00E377BC" w:rsidRDefault="000B0AC3" w:rsidP="00843A68">
            <w:pPr>
              <w:spacing w:after="340" w:line="259" w:lineRule="auto"/>
              <w:jc w:val="center"/>
              <w:rPr>
                <w:color w:val="0083C1" w:themeColor="background1"/>
                <w:sz w:val="20"/>
                <w:szCs w:val="20"/>
              </w:rPr>
            </w:pPr>
            <w:r>
              <w:rPr>
                <w:color w:val="0083C1" w:themeColor="background1"/>
                <w:sz w:val="20"/>
              </w:rPr>
              <w:t>Ресторант Леон, централен Лондон, Великобритания</w:t>
            </w:r>
          </w:p>
        </w:tc>
      </w:tr>
    </w:tbl>
    <w:p w:rsidR="00E75489" w:rsidRDefault="00E75489" w:rsidP="005250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720"/>
        <w:rPr>
          <w:rFonts w:cs="Arial"/>
          <w:color w:val="0083C1" w:themeColor="background1"/>
          <w:sz w:val="24"/>
        </w:rPr>
      </w:pPr>
    </w:p>
    <w:p w:rsidR="00E75489" w:rsidRDefault="00E75489" w:rsidP="005250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720"/>
        <w:rPr>
          <w:rFonts w:cs="Arial"/>
          <w:color w:val="0083C1" w:themeColor="background1"/>
          <w:sz w:val="24"/>
        </w:rPr>
      </w:pPr>
    </w:p>
    <w:p w:rsidR="008E7DC9" w:rsidRDefault="008E7DC9" w:rsidP="008E7DC9"/>
    <w:p w:rsidR="00312396" w:rsidRDefault="00312396" w:rsidP="00E377BC">
      <w:pPr>
        <w:pStyle w:val="Default"/>
        <w:jc w:val="both"/>
      </w:pPr>
    </w:p>
    <w:p w:rsidR="000B0AC3" w:rsidRDefault="000B0AC3" w:rsidP="00E377BC">
      <w:pPr>
        <w:tabs>
          <w:tab w:val="right" w:pos="5600"/>
        </w:tabs>
        <w:ind w:left="-15"/>
        <w:jc w:val="both"/>
        <w:rPr>
          <w:b/>
          <w:i/>
          <w:color w:val="0083C1" w:themeColor="background1"/>
          <w:sz w:val="40"/>
          <w:szCs w:val="40"/>
        </w:rPr>
      </w:pPr>
    </w:p>
    <w:p w:rsidR="000B0AC3" w:rsidRPr="000B0AC3" w:rsidRDefault="007A73ED" w:rsidP="007A73ED">
      <w:pPr>
        <w:tabs>
          <w:tab w:val="right" w:pos="5600"/>
        </w:tabs>
        <w:jc w:val="both"/>
        <w:rPr>
          <w:b/>
          <w:color w:val="0083C1" w:themeColor="background1"/>
          <w:sz w:val="40"/>
          <w:szCs w:val="40"/>
        </w:rPr>
      </w:pPr>
      <w:r>
        <w:rPr>
          <w:b/>
          <w:color w:val="0083C1" w:themeColor="background1"/>
          <w:sz w:val="40"/>
          <w:lang w:val="en-US"/>
        </w:rPr>
        <w:br/>
      </w:r>
      <w:r>
        <w:rPr>
          <w:b/>
          <w:color w:val="0083C1" w:themeColor="background1"/>
          <w:sz w:val="40"/>
          <w:lang w:val="en-US"/>
        </w:rPr>
        <w:br/>
      </w:r>
      <w:r w:rsidR="000B0AC3">
        <w:rPr>
          <w:b/>
          <w:color w:val="0083C1" w:themeColor="background1"/>
          <w:sz w:val="40"/>
        </w:rPr>
        <w:t xml:space="preserve">Новата интегрирана климатична система на Daikin е на път да революционизира естетиката на много търговски сгради по главните улици на цяла Великобритания. </w:t>
      </w:r>
    </w:p>
    <w:p w:rsidR="00CC4577" w:rsidRDefault="00CC4577" w:rsidP="00CC4577">
      <w:pPr>
        <w:pStyle w:val="Default"/>
        <w:rPr>
          <w:sz w:val="22"/>
        </w:rPr>
      </w:pPr>
    </w:p>
    <w:p w:rsidR="000B0AC3" w:rsidRDefault="00090AFF" w:rsidP="000B0AC3">
      <w:r w:rsidRPr="00090AFF">
        <w:t>Изпълнителят на механични и електрически монтажи</w:t>
      </w:r>
      <w:r w:rsidR="000B0AC3">
        <w:t xml:space="preserve">, Synecore, монтира </w:t>
      </w:r>
      <w:r w:rsidR="000B0AC3">
        <w:rPr>
          <w:rFonts w:ascii="Calibri" w:hAnsi="Calibri"/>
        </w:rPr>
        <w:t xml:space="preserve">първата си „невидима“ система за ОВК, i-серията на </w:t>
      </w:r>
      <w:r w:rsidR="000B0AC3">
        <w:t xml:space="preserve">VRV IV на Daikin в ресторант Леон в централен Лондон, за да преодолее ограниченията на малкото пространство и да постигне максимална ефективност на климатичния контрол. </w:t>
      </w:r>
    </w:p>
    <w:p w:rsidR="000B0AC3" w:rsidRDefault="000B0AC3" w:rsidP="000B0AC3">
      <w:pPr>
        <w:spacing w:after="0" w:line="259" w:lineRule="auto"/>
        <w:ind w:left="1985"/>
      </w:pPr>
    </w:p>
    <w:p w:rsidR="00D43DB3" w:rsidRDefault="000B0AC3" w:rsidP="000B0AC3">
      <w:pPr>
        <w:ind w:left="-5"/>
        <w:rPr>
          <w:rFonts w:ascii="Calibri" w:eastAsia="Calibri" w:hAnsi="Calibri" w:cs="Calibri"/>
          <w:b/>
        </w:rPr>
      </w:pPr>
      <w:r>
        <w:rPr>
          <w:rFonts w:ascii="Calibri" w:hAnsi="Calibri"/>
          <w:b/>
        </w:rPr>
        <w:t xml:space="preserve">Изисквания към проекта </w:t>
      </w:r>
    </w:p>
    <w:p w:rsidR="000B0AC3" w:rsidRDefault="000B0AC3" w:rsidP="000B0AC3">
      <w:pPr>
        <w:ind w:left="-5"/>
      </w:pPr>
      <w:r>
        <w:t>За климатичните системи често е необходимо външно пространство - в задната част на сградата или в покривното пространство, където да бъде разположен обемистият компресорно-кондензаторен агрегат, но Daikin създаде уникална система, която се монтира</w:t>
      </w:r>
      <w:r w:rsidR="00C644E3">
        <w:rPr>
          <w:lang w:val="en-US"/>
        </w:rPr>
        <w:t xml:space="preserve"> </w:t>
      </w:r>
      <w:r w:rsidR="00C644E3">
        <w:t xml:space="preserve">изцяло </w:t>
      </w:r>
      <w:r>
        <w:t>в помещение, като отвън се виждат само решетките, които могат да бъдат дискретно скрити в съществуващата конструкция или</w:t>
      </w:r>
      <w:r w:rsidR="00276917">
        <w:t xml:space="preserve"> рекламни</w:t>
      </w:r>
      <w:r>
        <w:t xml:space="preserve"> табели. </w:t>
      </w:r>
    </w:p>
    <w:p w:rsidR="000B0AC3" w:rsidRDefault="000B0AC3" w:rsidP="000B0AC3">
      <w:pPr>
        <w:spacing w:after="0" w:line="259" w:lineRule="auto"/>
      </w:pPr>
    </w:p>
    <w:p w:rsidR="000B0AC3" w:rsidRDefault="00A624F4" w:rsidP="000B0AC3">
      <w:pPr>
        <w:ind w:left="-5"/>
      </w:pPr>
      <w:r>
        <w:t>Едно от първите приложения</w:t>
      </w:r>
      <w:r w:rsidR="00914D50">
        <w:t xml:space="preserve"> на тази изцяло нова патентована система беше от Synecore за неин дългогодишен клиент и верига ресторанти за здравословно бързо хранене - Леон.  Synecore беше избраният изпълнител за дизайна и монтажа на ОВК за обектите на Леон в продължение на няколко години, </w:t>
      </w:r>
      <w:r w:rsidR="00E4649C">
        <w:t>като</w:t>
      </w:r>
      <w:r w:rsidR="00914D50">
        <w:t xml:space="preserve"> по-голямата част от проектите бяха изпълнени в Лондон, където външното пространството е ограничено. </w:t>
      </w:r>
    </w:p>
    <w:p w:rsidR="000B0AC3" w:rsidRDefault="000B0AC3" w:rsidP="000B0AC3">
      <w:pPr>
        <w:spacing w:after="0"/>
        <w:ind w:right="209"/>
      </w:pPr>
      <w:r>
        <w:t xml:space="preserve">Чрез използването на изцяло новата i-серия на VRV IV на Daikin, новият ресторант Леон на улица Фенчърч успя да отвори врати </w:t>
      </w:r>
      <w:r>
        <w:rPr>
          <w:rFonts w:ascii="Calibri" w:hAnsi="Calibri"/>
        </w:rPr>
        <w:t xml:space="preserve">по-рано, благодарение </w:t>
      </w:r>
      <w:r>
        <w:t xml:space="preserve">на дискретната конструкция на системата и ниското ниво на работен шум, което опрости разрешението за планиране. </w:t>
      </w:r>
    </w:p>
    <w:p w:rsidR="000B0AC3" w:rsidRDefault="000B0AC3" w:rsidP="000B0AC3">
      <w:pPr>
        <w:spacing w:after="0" w:line="259" w:lineRule="auto"/>
        <w:ind w:left="1805"/>
      </w:pPr>
    </w:p>
    <w:p w:rsidR="000B0AC3" w:rsidRDefault="000B0AC3" w:rsidP="000B0AC3">
      <w:pPr>
        <w:ind w:right="124"/>
      </w:pPr>
      <w:r>
        <w:lastRenderedPageBreak/>
        <w:t xml:space="preserve">Новата интегрирана система на Daikin е не само по-тиха и по-дискретна, но също е по-бърза и по-разходоефективна при монтаж, понеже тялото е разделено на две части </w:t>
      </w:r>
      <w:r>
        <w:rPr>
          <w:rFonts w:ascii="Calibri" w:hAnsi="Calibri"/>
        </w:rPr>
        <w:t>–</w:t>
      </w:r>
      <w:r>
        <w:t xml:space="preserve"> топлообменник и компресор. </w:t>
      </w:r>
    </w:p>
    <w:p w:rsidR="000B0AC3" w:rsidRDefault="000B0AC3" w:rsidP="000B0AC3">
      <w:pPr>
        <w:spacing w:after="0" w:line="259" w:lineRule="auto"/>
        <w:ind w:left="1805"/>
      </w:pPr>
    </w:p>
    <w:p w:rsidR="000B0AC3" w:rsidRDefault="000B0AC3" w:rsidP="000B0AC3">
      <w:r>
        <w:t>Топлообменникът е вграден в тавана, с външ</w:t>
      </w:r>
      <w:r>
        <w:rPr>
          <w:rFonts w:ascii="Calibri" w:hAnsi="Calibri"/>
        </w:rPr>
        <w:t xml:space="preserve">ен вентилационен отвор. </w:t>
      </w:r>
      <w:r>
        <w:t>Комбинацията от</w:t>
      </w:r>
      <w:r>
        <w:rPr>
          <w:rFonts w:ascii="Calibri" w:hAnsi="Calibri"/>
        </w:rPr>
        <w:t xml:space="preserve"> V-</w:t>
      </w:r>
      <w:r>
        <w:t xml:space="preserve">образен топлообменник и високоефективен вентилатор осигурява по-голям въздушен поток и статично налягане, което води до по-висока ефективност в сравнение със стандартно външно тяло, монтирано в помещението. Компактният компресор може да се монтира в помещение, офис, складово помещение, кухня или техническа зона. </w:t>
      </w:r>
    </w:p>
    <w:p w:rsidR="000B0AC3" w:rsidRDefault="000B0AC3" w:rsidP="000B0AC3">
      <w:pPr>
        <w:spacing w:after="0" w:line="259" w:lineRule="auto"/>
      </w:pPr>
      <w:r>
        <w:t xml:space="preserve">Това, че е монтиран в помещение и се състои от две части, означава че дължината на тръбите е сведена до минимум, така че няма нужда от скъп кран за монтаж на покрива или от шумоизолация. </w:t>
      </w:r>
    </w:p>
    <w:p w:rsidR="000B0AC3" w:rsidRDefault="000B0AC3" w:rsidP="000B0AC3">
      <w:pPr>
        <w:spacing w:after="0" w:line="259" w:lineRule="auto"/>
      </w:pPr>
    </w:p>
    <w:p w:rsidR="000B0AC3" w:rsidRDefault="000B0AC3" w:rsidP="000B0AC3">
      <w:r>
        <w:rPr>
          <w:rFonts w:ascii="Calibri" w:hAnsi="Calibri"/>
          <w:b/>
        </w:rPr>
        <w:t xml:space="preserve">Решението </w:t>
      </w:r>
    </w:p>
    <w:p w:rsidR="000B0AC3" w:rsidRDefault="00914D50" w:rsidP="000B0AC3">
      <w:pPr>
        <w:ind w:left="10" w:right="410"/>
      </w:pPr>
      <w:r>
        <w:t>Synecore свърза две 5 HP систем</w:t>
      </w:r>
      <w:r w:rsidR="00F2794B">
        <w:t>и от i-серията на VRV - една за</w:t>
      </w:r>
      <w:r>
        <w:t xml:space="preserve"> ресторанта и една в кухнята. Компресорът беше дискретно монтиран в шкаф под стълбите, напълно извън полезрението.  </w:t>
      </w:r>
    </w:p>
    <w:p w:rsidR="000B0AC3" w:rsidRDefault="000B0AC3" w:rsidP="000B0AC3">
      <w:pPr>
        <w:spacing w:after="0" w:line="259" w:lineRule="auto"/>
      </w:pPr>
    </w:p>
    <w:p w:rsidR="000B0AC3" w:rsidRDefault="000B0AC3" w:rsidP="000B0AC3">
      <w:pPr>
        <w:ind w:left="10" w:right="210"/>
      </w:pPr>
      <w:r>
        <w:t>Това е система, коя</w:t>
      </w:r>
      <w:r w:rsidR="000217A7">
        <w:t xml:space="preserve">то </w:t>
      </w:r>
      <w:r>
        <w:t>не само</w:t>
      </w:r>
      <w:r w:rsidR="000217A7">
        <w:t xml:space="preserve"> е</w:t>
      </w:r>
      <w:r>
        <w:t xml:space="preserve"> много по-естетически приятна и практична за компании за продажби на дребно, но също така е лесна за монтиране и предоставя фантастична цялостна ефективност, водеща до малки разходи за електроенергия. Относно поддръжката на климатичната система, всеки елемент е лесен за достъп и времето, което отнема, няма да е по-различно от това за конвенционална климатична система. </w:t>
      </w:r>
    </w:p>
    <w:p w:rsidR="000B0AC3" w:rsidRDefault="000B0AC3" w:rsidP="000B0AC3">
      <w:pPr>
        <w:spacing w:after="0" w:line="259" w:lineRule="auto"/>
      </w:pPr>
    </w:p>
    <w:p w:rsidR="000B0AC3" w:rsidRDefault="000B0AC3" w:rsidP="000B0AC3">
      <w:pPr>
        <w:ind w:right="195"/>
      </w:pPr>
      <w:r>
        <w:t>„</w:t>
      </w:r>
      <w:r>
        <w:rPr>
          <w:rFonts w:ascii="Calibri" w:hAnsi="Calibri"/>
          <w:i/>
        </w:rPr>
        <w:t xml:space="preserve">Фактът, че можем да монтираме </w:t>
      </w:r>
      <w:r w:rsidR="00F52E58">
        <w:rPr>
          <w:rFonts w:ascii="Calibri" w:hAnsi="Calibri"/>
          <w:i/>
        </w:rPr>
        <w:t>толкова</w:t>
      </w:r>
      <w:r>
        <w:rPr>
          <w:rFonts w:ascii="Calibri" w:hAnsi="Calibri"/>
          <w:i/>
        </w:rPr>
        <w:t xml:space="preserve"> дискретна и високоефективна климатична система ще има много ползи за търговците на дребно на главните улици във Великобритания, и особено в Лондон, където намирането на външно пространство за кондензатора може да е трудно“, </w:t>
      </w:r>
      <w:r>
        <w:t>обясни Гари Пайпър, мениджърът по ОВК на Synecore.</w:t>
      </w:r>
    </w:p>
    <w:p w:rsidR="000B0AC3" w:rsidRDefault="000B0AC3" w:rsidP="000B0AC3">
      <w:pPr>
        <w:spacing w:after="0" w:line="259" w:lineRule="auto"/>
      </w:pPr>
      <w:r>
        <w:rPr>
          <w:rFonts w:ascii="Calibri" w:hAnsi="Calibri"/>
          <w:i/>
        </w:rPr>
        <w:t xml:space="preserve">„Слоганът на Daikin за този продукт е „Продължавайте да търсите, никога няма да ме намерите“, </w:t>
      </w:r>
      <w:r w:rsidR="00032091">
        <w:rPr>
          <w:rFonts w:ascii="Calibri" w:hAnsi="Calibri"/>
          <w:i/>
        </w:rPr>
        <w:t>и</w:t>
      </w:r>
      <w:r>
        <w:rPr>
          <w:rFonts w:ascii="Calibri" w:hAnsi="Calibri"/>
          <w:i/>
        </w:rPr>
        <w:t xml:space="preserve"> е напълно точен.“</w:t>
      </w:r>
    </w:p>
    <w:p w:rsidR="000B0AC3" w:rsidRDefault="000B0AC3" w:rsidP="000B0AC3">
      <w:pPr>
        <w:spacing w:after="0" w:line="259" w:lineRule="auto"/>
      </w:pPr>
    </w:p>
    <w:p w:rsidR="000B0AC3" w:rsidRDefault="000B0AC3" w:rsidP="000B0AC3">
      <w:pPr>
        <w:ind w:right="413"/>
      </w:pPr>
      <w:r>
        <w:rPr>
          <w:rFonts w:ascii="Calibri" w:hAnsi="Calibri"/>
          <w:i/>
        </w:rPr>
        <w:t xml:space="preserve">В Леон на улица Фенчърч, върху екстериора на сградата не можете да видите никаква част от климатичната система, понеже е скрита от стъклен навес. В ресторанта също имаше възможност телата да бъдат изцяло скрити, но собствениците на Леон предпочетоха индустриалния дизайн с видими тръби.  </w:t>
      </w:r>
    </w:p>
    <w:p w:rsidR="000B0AC3" w:rsidRDefault="000B0AC3" w:rsidP="000B0AC3">
      <w:pPr>
        <w:spacing w:after="0" w:line="259" w:lineRule="auto"/>
        <w:ind w:left="470"/>
      </w:pPr>
    </w:p>
    <w:p w:rsidR="000B0AC3" w:rsidRDefault="000B0AC3" w:rsidP="000B0AC3">
      <w:pPr>
        <w:spacing w:after="39"/>
        <w:ind w:right="275"/>
      </w:pPr>
      <w:r>
        <w:rPr>
          <w:rFonts w:ascii="Calibri" w:hAnsi="Calibri"/>
          <w:i/>
        </w:rPr>
        <w:t>Това е фантастичен пример за това доколко са скрити телата, когато бъдат монтирани, понеже дискретните топлообменници са разположени до входната врата и в кухненската зона, като са точно пред погледа на персонала и клиентите, но са напълно дискретни.“</w:t>
      </w:r>
    </w:p>
    <w:p w:rsidR="00E377BC" w:rsidRPr="00CC4577" w:rsidRDefault="00E377BC" w:rsidP="00E377BC">
      <w:pPr>
        <w:pStyle w:val="Default"/>
        <w:rPr>
          <w:sz w:val="22"/>
        </w:rPr>
      </w:pPr>
    </w:p>
    <w:p w:rsidR="00914B28" w:rsidRPr="00914D50" w:rsidRDefault="00914D50" w:rsidP="00914B28">
      <w:pPr>
        <w:spacing w:after="0" w:line="360" w:lineRule="auto"/>
        <w:rPr>
          <w:rFonts w:ascii="Arial" w:hAnsi="Arial" w:cs="Arial"/>
          <w:b/>
          <w:color w:val="0083C1" w:themeColor="background1"/>
        </w:rPr>
      </w:pPr>
      <w:r>
        <w:rPr>
          <w:b/>
          <w:color w:val="0083C1" w:themeColor="background1"/>
        </w:rPr>
        <w:t>За да научите повече, посетете: www.daikineurope.com/citysecret</w:t>
      </w:r>
    </w:p>
    <w:p w:rsidR="00914B28" w:rsidRPr="00914B28" w:rsidRDefault="00914B28" w:rsidP="00914B28">
      <w:pPr>
        <w:pStyle w:val="Heading3"/>
        <w:numPr>
          <w:ilvl w:val="0"/>
          <w:numId w:val="0"/>
        </w:numPr>
        <w:ind w:left="720" w:hanging="720"/>
        <w:rPr>
          <w:rStyle w:val="Strong"/>
        </w:rPr>
      </w:pPr>
      <w:r>
        <w:rPr>
          <w:rStyle w:val="Strong"/>
        </w:rPr>
        <w:t>&gt;Край</w:t>
      </w:r>
    </w:p>
    <w:p w:rsidR="00914B28" w:rsidRDefault="00914B28" w:rsidP="00914B28">
      <w:pPr>
        <w:rPr>
          <w:rFonts w:ascii="Arial" w:hAnsi="Arial" w:cs="Arial"/>
          <w:b/>
        </w:rPr>
      </w:pPr>
    </w:p>
    <w:p w:rsidR="00914B28" w:rsidRPr="00914B28" w:rsidRDefault="00914B28" w:rsidP="001C4C72">
      <w:pPr>
        <w:rPr>
          <w:rStyle w:val="Strong"/>
        </w:rPr>
      </w:pPr>
      <w:r>
        <w:rPr>
          <w:rStyle w:val="Strong"/>
        </w:rPr>
        <w:t>Бележки на редактора:</w:t>
      </w:r>
    </w:p>
    <w:p w:rsidR="00914B28" w:rsidRPr="00914B28" w:rsidRDefault="00914B28" w:rsidP="00914B28">
      <w:pPr>
        <w:spacing w:after="0" w:line="360" w:lineRule="auto"/>
        <w:rPr>
          <w:rStyle w:val="Strong"/>
        </w:rPr>
      </w:pPr>
      <w:r>
        <w:rPr>
          <w:rStyle w:val="Strong"/>
        </w:rPr>
        <w:t>За Daikin Europe N.V.</w:t>
      </w:r>
    </w:p>
    <w:p w:rsidR="00914B28" w:rsidRDefault="00914B28" w:rsidP="00914B28">
      <w:r>
        <w:lastRenderedPageBreak/>
        <w:t>Daikin Europe N.V. е водещ европейски производител на климатици, термопомпи и хладилно оборудване, с около 5500 служители в цяла Европа и 10 основни производствени мощности, базирани в Белгия, Чехия, Германия, Италия, Турция и Великобритания.</w:t>
      </w:r>
    </w:p>
    <w:p w:rsidR="00914B28" w:rsidRDefault="00914B28" w:rsidP="00914B28">
      <w:r>
        <w:t>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решения. С повече от 90 години опит в проектирането и производството на технологии за отопление и охлаждане, Daikin е пазарен лидер в термопомпените технологии. Daikin VRV и Daikin Altherma са най-продаваните термопомпени системи в Европа, като до момента са доставени над 500 000 системи.</w:t>
      </w:r>
    </w:p>
    <w:p w:rsidR="00914B28" w:rsidRPr="00914B28" w:rsidRDefault="001C4C72" w:rsidP="001C4C72">
      <w:pPr>
        <w:spacing w:line="360" w:lineRule="auto"/>
      </w:pPr>
      <w:r>
        <w:t xml:space="preserve">Запитвания от медиите могат да бъдат изпращани на </w:t>
      </w:r>
      <w:hyperlink r:id="rId8">
        <w:r>
          <w:rPr>
            <w:rStyle w:val="Hyperlink"/>
          </w:rPr>
          <w:t>Daikin-News@sheremarketing.co.uk</w:t>
        </w:r>
      </w:hyperlink>
    </w:p>
    <w:sectPr w:rsidR="00914B28" w:rsidRPr="00914B28" w:rsidSect="00330ABB">
      <w:headerReference w:type="default" r:id="rId9"/>
      <w:footerReference w:type="default" r:id="rId10"/>
      <w:pgSz w:w="11907" w:h="16839" w:code="9"/>
      <w:pgMar w:top="1893" w:right="1440" w:bottom="2880" w:left="720" w:header="45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643" w:rsidRDefault="008B4643" w:rsidP="000C65B2">
      <w:pPr>
        <w:spacing w:after="0" w:line="240" w:lineRule="auto"/>
      </w:pPr>
      <w:r>
        <w:separator/>
      </w:r>
    </w:p>
  </w:endnote>
  <w:endnote w:type="continuationSeparator" w:id="1">
    <w:p w:rsidR="008B4643" w:rsidRDefault="008B4643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6A" w:rsidRDefault="003F106A" w:rsidP="002C5851">
    <w:pPr>
      <w:pStyle w:val="Footer"/>
      <w:ind w:hanging="720"/>
      <w:rPr>
        <w:noProof/>
      </w:rPr>
    </w:pPr>
  </w:p>
  <w:p w:rsidR="003F106A" w:rsidRDefault="003F106A" w:rsidP="002C5851">
    <w:pPr>
      <w:pStyle w:val="Footer"/>
      <w:ind w:hanging="720"/>
    </w:pPr>
    <w:r>
      <w:rPr>
        <w:noProof/>
        <w:lang w:val="en-US" w:eastAsia="en-US" w:bidi="ar-SA"/>
      </w:rPr>
      <w:drawing>
        <wp:inline distT="0" distB="0" distL="0" distR="0">
          <wp:extent cx="7562850" cy="1347188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_footer-city-small_no-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15="http://schemas.microsoft.com/office/word/2012/wordml" xmlns:wpg="http://schemas.microsoft.com/office/word/2010/wordprocessingGroup" xmlns:a14="http://schemas.microsoft.com/office/drawing/2010/main" xmlns:w10="urn:schemas-microsoft-com:office:word" xmlns:v="urn:schemas-microsoft-com:vml" xmlns:o="urn:schemas-microsoft-com:office:office" xmlns:w="http://schemas.openxmlformats.org/wordprocessingml/2006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986" cy="1349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F106A" w:rsidRDefault="003F10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643" w:rsidRDefault="008B4643" w:rsidP="000C65B2">
      <w:pPr>
        <w:spacing w:after="0" w:line="240" w:lineRule="auto"/>
      </w:pPr>
      <w:r>
        <w:separator/>
      </w:r>
    </w:p>
  </w:footnote>
  <w:footnote w:type="continuationSeparator" w:id="1">
    <w:p w:rsidR="008B4643" w:rsidRDefault="008B4643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6A" w:rsidRPr="00D54049" w:rsidRDefault="003F106A" w:rsidP="00330ABB">
    <w:pPr>
      <w:pStyle w:val="Header"/>
      <w:tabs>
        <w:tab w:val="clear" w:pos="9026"/>
        <w:tab w:val="left" w:pos="0"/>
        <w:tab w:val="right" w:pos="9810"/>
      </w:tabs>
      <w:ind w:right="-783"/>
      <w:jc w:val="right"/>
      <w:rPr>
        <w:sz w:val="16"/>
      </w:rPr>
    </w:pPr>
  </w:p>
  <w:tbl>
    <w:tblPr>
      <w:tblStyle w:val="TableGrid"/>
      <w:tblW w:w="10980" w:type="dxa"/>
      <w:tblInd w:w="-612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Look w:val="04A0"/>
    </w:tblPr>
    <w:tblGrid>
      <w:gridCol w:w="5233"/>
      <w:gridCol w:w="5747"/>
    </w:tblGrid>
    <w:tr w:rsidR="003F106A" w:rsidTr="00330ABB">
      <w:trPr>
        <w:trHeight w:val="398"/>
      </w:trPr>
      <w:tc>
        <w:tcPr>
          <w:tcW w:w="5233" w:type="dxa"/>
          <w:vMerge w:val="restart"/>
        </w:tcPr>
        <w:p w:rsidR="003F106A" w:rsidRDefault="003F106A" w:rsidP="00330ABB">
          <w:pPr>
            <w:pStyle w:val="Header"/>
            <w:ind w:firstLine="702"/>
          </w:pPr>
          <w:r>
            <w:rPr>
              <w:noProof/>
              <w:sz w:val="16"/>
              <w:lang w:val="en-US" w:eastAsia="en-US" w:bidi="ar-SA"/>
            </w:rPr>
            <w:drawing>
              <wp:inline distT="0" distB="0" distL="0" distR="0">
                <wp:extent cx="1524000" cy="323850"/>
                <wp:effectExtent l="0" t="0" r="0" b="0"/>
                <wp:docPr id="6" name="Picture 6" descr="logo_for_wor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for_word_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15="http://schemas.microsoft.com/office/word/2012/wordml" xmlns:wpg="http://schemas.microsoft.com/office/word/2010/wordprocessingGroup" xmlns:a14="http://schemas.microsoft.com/office/drawing/2010/main" xmlns:w10="urn:schemas-microsoft-com:office:word" xmlns:v="urn:schemas-microsoft-com:vml" xmlns:o="urn:schemas-microsoft-com:office:office" xmlns:w="http://schemas.openxmlformats.org/wordprocessingml/2006/main" val="0"/>
                            </a:ext>
                          </a:extLst>
                        </a:blip>
                        <a:srcRect b="24444"/>
                        <a:stretch/>
                      </pic:blipFill>
                      <pic:spPr bwMode="auto">
                        <a:xfrm>
                          <a:off x="0" y="0"/>
                          <a:ext cx="15240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15="http://schemas.microsoft.com/office/word/2012/wordml" xmlns:wpg="http://schemas.microsoft.com/office/word/2010/wordprocessingGroup" xmlns:a14="http://schemas.microsoft.com/office/drawing/2010/main" xmlns:w10="urn:schemas-microsoft-com:office:word" xmlns:v="urn:schemas-microsoft-com:vml" xmlns:o="urn:schemas-microsoft-com:office:office" xmlns:w="http://schemas.openxmlformats.org/wordprocessingml/2006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7" w:type="dxa"/>
          <w:vAlign w:val="center"/>
        </w:tcPr>
        <w:p w:rsidR="003F106A" w:rsidRDefault="003F106A" w:rsidP="00004644">
          <w:pPr>
            <w:pStyle w:val="Header"/>
            <w:tabs>
              <w:tab w:val="clear" w:pos="4513"/>
            </w:tabs>
            <w:ind w:right="-18"/>
            <w:jc w:val="right"/>
          </w:pPr>
          <w:r>
            <w:rPr>
              <w:color w:val="5F5F5F" w:themeColor="background2"/>
              <w:sz w:val="16"/>
            </w:rPr>
            <w:t>Пример от практиката на Daikin Europe</w:t>
          </w:r>
        </w:p>
      </w:tc>
    </w:tr>
    <w:tr w:rsidR="003F106A" w:rsidTr="00330ABB">
      <w:trPr>
        <w:trHeight w:val="70"/>
      </w:trPr>
      <w:tc>
        <w:tcPr>
          <w:tcW w:w="5233" w:type="dxa"/>
          <w:vMerge/>
        </w:tcPr>
        <w:p w:rsidR="003F106A" w:rsidRDefault="003F106A" w:rsidP="00FC3E62">
          <w:pPr>
            <w:pStyle w:val="Header"/>
            <w:ind w:hanging="108"/>
          </w:pPr>
        </w:p>
      </w:tc>
      <w:tc>
        <w:tcPr>
          <w:tcW w:w="5747" w:type="dxa"/>
        </w:tcPr>
        <w:p w:rsidR="003F106A" w:rsidRPr="00FC3E62" w:rsidRDefault="0064524D" w:rsidP="00FC3E62">
          <w:pPr>
            <w:pStyle w:val="Footer"/>
            <w:jc w:val="right"/>
            <w:rPr>
              <w:rFonts w:eastAsiaTheme="majorEastAsia" w:cstheme="majorBidi"/>
              <w:color w:val="5F5F5F" w:themeColor="background2"/>
              <w:sz w:val="16"/>
              <w:szCs w:val="16"/>
            </w:rPr>
          </w:pPr>
          <w:r w:rsidRPr="0064524D">
            <w:rPr>
              <w:color w:val="5F5F5F" w:themeColor="background2"/>
              <w:sz w:val="16"/>
              <w:szCs w:val="16"/>
            </w:rPr>
            <w:fldChar w:fldCharType="begin"/>
          </w:r>
          <w:r w:rsidR="003F106A" w:rsidRPr="00FC3E62">
            <w:rPr>
              <w:color w:val="5F5F5F" w:themeColor="background2"/>
              <w:sz w:val="16"/>
              <w:szCs w:val="16"/>
            </w:rPr>
            <w:instrText xml:space="preserve"> PAGE    \* MERGEFORMAT </w:instrText>
          </w:r>
          <w:r w:rsidRPr="0064524D">
            <w:rPr>
              <w:color w:val="5F5F5F" w:themeColor="background2"/>
              <w:sz w:val="16"/>
              <w:szCs w:val="16"/>
            </w:rPr>
            <w:fldChar w:fldCharType="separate"/>
          </w:r>
          <w:r w:rsidR="00032091" w:rsidRPr="00032091">
            <w:rPr>
              <w:rFonts w:eastAsiaTheme="majorEastAsia" w:cstheme="majorBidi"/>
              <w:noProof/>
              <w:color w:val="5F5F5F" w:themeColor="background2"/>
              <w:sz w:val="16"/>
              <w:szCs w:val="16"/>
            </w:rPr>
            <w:t>2</w:t>
          </w:r>
          <w:r w:rsidRPr="00FC3E62">
            <w:rPr>
              <w:rFonts w:eastAsiaTheme="majorEastAsia" w:cstheme="majorBidi"/>
              <w:noProof/>
              <w:color w:val="5F5F5F" w:themeColor="background2"/>
              <w:sz w:val="16"/>
              <w:szCs w:val="16"/>
            </w:rPr>
            <w:fldChar w:fldCharType="end"/>
          </w:r>
        </w:p>
      </w:tc>
    </w:tr>
  </w:tbl>
  <w:p w:rsidR="003F106A" w:rsidRDefault="003F10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686"/>
    <w:multiLevelType w:val="hybridMultilevel"/>
    <w:tmpl w:val="5066B21A"/>
    <w:lvl w:ilvl="0" w:tplc="5254CC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22237"/>
    <w:multiLevelType w:val="hybridMultilevel"/>
    <w:tmpl w:val="D64E0738"/>
    <w:lvl w:ilvl="0" w:tplc="CF8830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02044"/>
    <w:multiLevelType w:val="hybridMultilevel"/>
    <w:tmpl w:val="E18EA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480A6D"/>
    <w:multiLevelType w:val="hybridMultilevel"/>
    <w:tmpl w:val="3684DD8A"/>
    <w:lvl w:ilvl="0" w:tplc="9A3EDB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C4DB4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76EF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3C33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4199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544AD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382A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9EF6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C78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474DF0"/>
    <w:multiLevelType w:val="hybridMultilevel"/>
    <w:tmpl w:val="7444F676"/>
    <w:lvl w:ilvl="0" w:tplc="C89E09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DC0E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C019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76A8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307B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27C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EC0A6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704E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A2CAA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121D7"/>
    <w:multiLevelType w:val="hybridMultilevel"/>
    <w:tmpl w:val="D226A55A"/>
    <w:lvl w:ilvl="0" w:tplc="E8327C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630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ABBD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26D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6211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4EBE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76BF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CA85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E6D94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5A32EC"/>
    <w:multiLevelType w:val="multilevel"/>
    <w:tmpl w:val="0C2410C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EB664F2"/>
    <w:multiLevelType w:val="hybridMultilevel"/>
    <w:tmpl w:val="EF16E7C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9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1"/>
  </w:num>
  <w:num w:numId="26">
    <w:abstractNumId w:val="5"/>
  </w:num>
  <w:num w:numId="27">
    <w:abstractNumId w:val="4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F1648"/>
    <w:rsid w:val="00004644"/>
    <w:rsid w:val="00012A26"/>
    <w:rsid w:val="000217A7"/>
    <w:rsid w:val="0002718E"/>
    <w:rsid w:val="00032091"/>
    <w:rsid w:val="00032BAB"/>
    <w:rsid w:val="00034675"/>
    <w:rsid w:val="0005346B"/>
    <w:rsid w:val="000551D5"/>
    <w:rsid w:val="0005542A"/>
    <w:rsid w:val="00055966"/>
    <w:rsid w:val="00063F4C"/>
    <w:rsid w:val="00077AD3"/>
    <w:rsid w:val="00090AFF"/>
    <w:rsid w:val="00094A7E"/>
    <w:rsid w:val="000A233A"/>
    <w:rsid w:val="000A7D2F"/>
    <w:rsid w:val="000B0AC3"/>
    <w:rsid w:val="000B6BD3"/>
    <w:rsid w:val="000C11B9"/>
    <w:rsid w:val="000C5AEB"/>
    <w:rsid w:val="000C65B2"/>
    <w:rsid w:val="000D1C07"/>
    <w:rsid w:val="000D4C7C"/>
    <w:rsid w:val="000F1D8C"/>
    <w:rsid w:val="000F6F8D"/>
    <w:rsid w:val="001052F1"/>
    <w:rsid w:val="00111112"/>
    <w:rsid w:val="00111767"/>
    <w:rsid w:val="00126D35"/>
    <w:rsid w:val="001374D4"/>
    <w:rsid w:val="00146C07"/>
    <w:rsid w:val="00150B88"/>
    <w:rsid w:val="001732B2"/>
    <w:rsid w:val="00174C1E"/>
    <w:rsid w:val="00175EAB"/>
    <w:rsid w:val="001855AF"/>
    <w:rsid w:val="00185D2A"/>
    <w:rsid w:val="001932D1"/>
    <w:rsid w:val="001B2992"/>
    <w:rsid w:val="001C36CE"/>
    <w:rsid w:val="001C4C72"/>
    <w:rsid w:val="001C50CA"/>
    <w:rsid w:val="001D2BA5"/>
    <w:rsid w:val="001E09ED"/>
    <w:rsid w:val="001E2334"/>
    <w:rsid w:val="001F1648"/>
    <w:rsid w:val="00203538"/>
    <w:rsid w:val="00216755"/>
    <w:rsid w:val="00245D07"/>
    <w:rsid w:val="00257D4E"/>
    <w:rsid w:val="0026092F"/>
    <w:rsid w:val="00271F9C"/>
    <w:rsid w:val="00276917"/>
    <w:rsid w:val="00276E2E"/>
    <w:rsid w:val="00283B0E"/>
    <w:rsid w:val="00284743"/>
    <w:rsid w:val="00290B0C"/>
    <w:rsid w:val="002A1789"/>
    <w:rsid w:val="002A2BE5"/>
    <w:rsid w:val="002C5851"/>
    <w:rsid w:val="002C788C"/>
    <w:rsid w:val="002E1371"/>
    <w:rsid w:val="002E68F4"/>
    <w:rsid w:val="002F6D00"/>
    <w:rsid w:val="0030354B"/>
    <w:rsid w:val="003066D0"/>
    <w:rsid w:val="00312396"/>
    <w:rsid w:val="00316472"/>
    <w:rsid w:val="00327B35"/>
    <w:rsid w:val="00330ABB"/>
    <w:rsid w:val="00331E9E"/>
    <w:rsid w:val="00331FA9"/>
    <w:rsid w:val="00332661"/>
    <w:rsid w:val="00333EA4"/>
    <w:rsid w:val="00345EDE"/>
    <w:rsid w:val="0035632C"/>
    <w:rsid w:val="0035723A"/>
    <w:rsid w:val="00363414"/>
    <w:rsid w:val="003662AD"/>
    <w:rsid w:val="00375FEF"/>
    <w:rsid w:val="00384EB9"/>
    <w:rsid w:val="00387C74"/>
    <w:rsid w:val="0039382B"/>
    <w:rsid w:val="003951F0"/>
    <w:rsid w:val="0039650B"/>
    <w:rsid w:val="00396EAD"/>
    <w:rsid w:val="00397967"/>
    <w:rsid w:val="00397AF0"/>
    <w:rsid w:val="003A1438"/>
    <w:rsid w:val="003A3CC5"/>
    <w:rsid w:val="003A3FBE"/>
    <w:rsid w:val="003B49E1"/>
    <w:rsid w:val="003B5634"/>
    <w:rsid w:val="003C7C3B"/>
    <w:rsid w:val="003D5029"/>
    <w:rsid w:val="003D699D"/>
    <w:rsid w:val="003D7295"/>
    <w:rsid w:val="003E1AE9"/>
    <w:rsid w:val="003E5687"/>
    <w:rsid w:val="003F106A"/>
    <w:rsid w:val="003F4901"/>
    <w:rsid w:val="00400866"/>
    <w:rsid w:val="00406228"/>
    <w:rsid w:val="004122B7"/>
    <w:rsid w:val="00416265"/>
    <w:rsid w:val="0041780C"/>
    <w:rsid w:val="004278DB"/>
    <w:rsid w:val="00436F6C"/>
    <w:rsid w:val="004408C0"/>
    <w:rsid w:val="00452601"/>
    <w:rsid w:val="00456E91"/>
    <w:rsid w:val="00461686"/>
    <w:rsid w:val="004669A3"/>
    <w:rsid w:val="00471687"/>
    <w:rsid w:val="0047197A"/>
    <w:rsid w:val="00474530"/>
    <w:rsid w:val="00475D0E"/>
    <w:rsid w:val="00475EC3"/>
    <w:rsid w:val="00491B3B"/>
    <w:rsid w:val="004A57E2"/>
    <w:rsid w:val="004A7AA8"/>
    <w:rsid w:val="004C2489"/>
    <w:rsid w:val="004C4C87"/>
    <w:rsid w:val="004D47A7"/>
    <w:rsid w:val="004D723E"/>
    <w:rsid w:val="004E66FE"/>
    <w:rsid w:val="004F2588"/>
    <w:rsid w:val="004F5BF7"/>
    <w:rsid w:val="00522446"/>
    <w:rsid w:val="005250A2"/>
    <w:rsid w:val="00531EBF"/>
    <w:rsid w:val="005343EB"/>
    <w:rsid w:val="0054553C"/>
    <w:rsid w:val="005503EF"/>
    <w:rsid w:val="00560070"/>
    <w:rsid w:val="00563CA8"/>
    <w:rsid w:val="00573983"/>
    <w:rsid w:val="005749E4"/>
    <w:rsid w:val="00576E2D"/>
    <w:rsid w:val="0058361C"/>
    <w:rsid w:val="005856CC"/>
    <w:rsid w:val="00591880"/>
    <w:rsid w:val="005A3DC2"/>
    <w:rsid w:val="005B2ACB"/>
    <w:rsid w:val="005B2F89"/>
    <w:rsid w:val="005B48B9"/>
    <w:rsid w:val="005B6942"/>
    <w:rsid w:val="005B7930"/>
    <w:rsid w:val="005E1238"/>
    <w:rsid w:val="005E2077"/>
    <w:rsid w:val="005F0FED"/>
    <w:rsid w:val="006009B6"/>
    <w:rsid w:val="00606360"/>
    <w:rsid w:val="006423F2"/>
    <w:rsid w:val="00644DB0"/>
    <w:rsid w:val="0064524D"/>
    <w:rsid w:val="00685F0D"/>
    <w:rsid w:val="00693DC0"/>
    <w:rsid w:val="00696B93"/>
    <w:rsid w:val="00697C9D"/>
    <w:rsid w:val="006A6B89"/>
    <w:rsid w:val="006D533C"/>
    <w:rsid w:val="006E3B03"/>
    <w:rsid w:val="006E441D"/>
    <w:rsid w:val="006E5B79"/>
    <w:rsid w:val="006E6330"/>
    <w:rsid w:val="006E7698"/>
    <w:rsid w:val="006F58A2"/>
    <w:rsid w:val="007004E9"/>
    <w:rsid w:val="007030FD"/>
    <w:rsid w:val="00705ABD"/>
    <w:rsid w:val="0071291E"/>
    <w:rsid w:val="007145EE"/>
    <w:rsid w:val="0071740C"/>
    <w:rsid w:val="00721412"/>
    <w:rsid w:val="00723CB7"/>
    <w:rsid w:val="00743631"/>
    <w:rsid w:val="00751671"/>
    <w:rsid w:val="00751A43"/>
    <w:rsid w:val="007813B2"/>
    <w:rsid w:val="00781ADD"/>
    <w:rsid w:val="00786BF1"/>
    <w:rsid w:val="007908F9"/>
    <w:rsid w:val="00797F32"/>
    <w:rsid w:val="007A521D"/>
    <w:rsid w:val="007A71B1"/>
    <w:rsid w:val="007A73ED"/>
    <w:rsid w:val="007B2CDF"/>
    <w:rsid w:val="007D571A"/>
    <w:rsid w:val="007D6E2F"/>
    <w:rsid w:val="00801174"/>
    <w:rsid w:val="00805CEA"/>
    <w:rsid w:val="008271D2"/>
    <w:rsid w:val="00827929"/>
    <w:rsid w:val="00835742"/>
    <w:rsid w:val="00835BEB"/>
    <w:rsid w:val="00843A68"/>
    <w:rsid w:val="00844E38"/>
    <w:rsid w:val="00863405"/>
    <w:rsid w:val="008760AB"/>
    <w:rsid w:val="008815B7"/>
    <w:rsid w:val="00885DD1"/>
    <w:rsid w:val="008B20A4"/>
    <w:rsid w:val="008B4643"/>
    <w:rsid w:val="008B5AB7"/>
    <w:rsid w:val="008C2F17"/>
    <w:rsid w:val="008D1149"/>
    <w:rsid w:val="008D133B"/>
    <w:rsid w:val="008D3159"/>
    <w:rsid w:val="008E167D"/>
    <w:rsid w:val="008E507F"/>
    <w:rsid w:val="008E5E9E"/>
    <w:rsid w:val="008E7DC9"/>
    <w:rsid w:val="008F09F4"/>
    <w:rsid w:val="008F0BB8"/>
    <w:rsid w:val="008F7936"/>
    <w:rsid w:val="009000D2"/>
    <w:rsid w:val="00914B28"/>
    <w:rsid w:val="00914D50"/>
    <w:rsid w:val="00917495"/>
    <w:rsid w:val="0093552D"/>
    <w:rsid w:val="00941C57"/>
    <w:rsid w:val="009421C2"/>
    <w:rsid w:val="00943D25"/>
    <w:rsid w:val="00961EE8"/>
    <w:rsid w:val="00974C50"/>
    <w:rsid w:val="009919D7"/>
    <w:rsid w:val="009A4946"/>
    <w:rsid w:val="009C1545"/>
    <w:rsid w:val="009D2FA7"/>
    <w:rsid w:val="009D73A6"/>
    <w:rsid w:val="009E70E1"/>
    <w:rsid w:val="009F2DD4"/>
    <w:rsid w:val="009F33E3"/>
    <w:rsid w:val="00A02DDE"/>
    <w:rsid w:val="00A03C09"/>
    <w:rsid w:val="00A13EB4"/>
    <w:rsid w:val="00A16263"/>
    <w:rsid w:val="00A20EEE"/>
    <w:rsid w:val="00A24903"/>
    <w:rsid w:val="00A30686"/>
    <w:rsid w:val="00A32689"/>
    <w:rsid w:val="00A37792"/>
    <w:rsid w:val="00A419DD"/>
    <w:rsid w:val="00A426B3"/>
    <w:rsid w:val="00A47D78"/>
    <w:rsid w:val="00A519B3"/>
    <w:rsid w:val="00A52469"/>
    <w:rsid w:val="00A57EBF"/>
    <w:rsid w:val="00A60E1B"/>
    <w:rsid w:val="00A624F4"/>
    <w:rsid w:val="00A71560"/>
    <w:rsid w:val="00A741EE"/>
    <w:rsid w:val="00A7577D"/>
    <w:rsid w:val="00A83206"/>
    <w:rsid w:val="00A83445"/>
    <w:rsid w:val="00A83789"/>
    <w:rsid w:val="00A95235"/>
    <w:rsid w:val="00A96275"/>
    <w:rsid w:val="00A97A7F"/>
    <w:rsid w:val="00AA0DF9"/>
    <w:rsid w:val="00AB245B"/>
    <w:rsid w:val="00AB362D"/>
    <w:rsid w:val="00AB4F85"/>
    <w:rsid w:val="00AE1BC5"/>
    <w:rsid w:val="00AE2181"/>
    <w:rsid w:val="00AF225B"/>
    <w:rsid w:val="00B05708"/>
    <w:rsid w:val="00B26DE8"/>
    <w:rsid w:val="00B32476"/>
    <w:rsid w:val="00B40F0F"/>
    <w:rsid w:val="00B438FA"/>
    <w:rsid w:val="00B67BB8"/>
    <w:rsid w:val="00B73A9E"/>
    <w:rsid w:val="00B816F4"/>
    <w:rsid w:val="00B84377"/>
    <w:rsid w:val="00B870EC"/>
    <w:rsid w:val="00BA5F89"/>
    <w:rsid w:val="00BB6D28"/>
    <w:rsid w:val="00BC4AB0"/>
    <w:rsid w:val="00BC73C3"/>
    <w:rsid w:val="00BD0496"/>
    <w:rsid w:val="00BD2756"/>
    <w:rsid w:val="00BD4CA4"/>
    <w:rsid w:val="00BE034B"/>
    <w:rsid w:val="00C04673"/>
    <w:rsid w:val="00C12068"/>
    <w:rsid w:val="00C1612C"/>
    <w:rsid w:val="00C260A3"/>
    <w:rsid w:val="00C32F80"/>
    <w:rsid w:val="00C50180"/>
    <w:rsid w:val="00C528E2"/>
    <w:rsid w:val="00C55412"/>
    <w:rsid w:val="00C644E3"/>
    <w:rsid w:val="00C65B32"/>
    <w:rsid w:val="00C667C7"/>
    <w:rsid w:val="00C7000C"/>
    <w:rsid w:val="00C7105F"/>
    <w:rsid w:val="00C7423D"/>
    <w:rsid w:val="00C83799"/>
    <w:rsid w:val="00C86436"/>
    <w:rsid w:val="00C97B06"/>
    <w:rsid w:val="00CA6010"/>
    <w:rsid w:val="00CA6FDF"/>
    <w:rsid w:val="00CA7B53"/>
    <w:rsid w:val="00CC215B"/>
    <w:rsid w:val="00CC4577"/>
    <w:rsid w:val="00CC7C05"/>
    <w:rsid w:val="00CD3452"/>
    <w:rsid w:val="00CE6E1E"/>
    <w:rsid w:val="00D03CC8"/>
    <w:rsid w:val="00D07426"/>
    <w:rsid w:val="00D172CA"/>
    <w:rsid w:val="00D43DB3"/>
    <w:rsid w:val="00D52294"/>
    <w:rsid w:val="00D54049"/>
    <w:rsid w:val="00D644BD"/>
    <w:rsid w:val="00D706CB"/>
    <w:rsid w:val="00D71A11"/>
    <w:rsid w:val="00D720AD"/>
    <w:rsid w:val="00D72766"/>
    <w:rsid w:val="00D7636D"/>
    <w:rsid w:val="00D827EA"/>
    <w:rsid w:val="00D96F31"/>
    <w:rsid w:val="00DA120C"/>
    <w:rsid w:val="00DA7016"/>
    <w:rsid w:val="00DB3FBB"/>
    <w:rsid w:val="00DC3A21"/>
    <w:rsid w:val="00DD404C"/>
    <w:rsid w:val="00DD58E3"/>
    <w:rsid w:val="00DE4FAC"/>
    <w:rsid w:val="00E113E7"/>
    <w:rsid w:val="00E152D9"/>
    <w:rsid w:val="00E2594B"/>
    <w:rsid w:val="00E2746A"/>
    <w:rsid w:val="00E3215E"/>
    <w:rsid w:val="00E3286B"/>
    <w:rsid w:val="00E33D84"/>
    <w:rsid w:val="00E3651D"/>
    <w:rsid w:val="00E377BC"/>
    <w:rsid w:val="00E431DA"/>
    <w:rsid w:val="00E4649C"/>
    <w:rsid w:val="00E5511B"/>
    <w:rsid w:val="00E55D29"/>
    <w:rsid w:val="00E56013"/>
    <w:rsid w:val="00E64D6C"/>
    <w:rsid w:val="00E739FB"/>
    <w:rsid w:val="00E75489"/>
    <w:rsid w:val="00E76DB2"/>
    <w:rsid w:val="00E827D8"/>
    <w:rsid w:val="00E82A4F"/>
    <w:rsid w:val="00E83FA4"/>
    <w:rsid w:val="00EA3DE7"/>
    <w:rsid w:val="00EC24A8"/>
    <w:rsid w:val="00EC2A0A"/>
    <w:rsid w:val="00EC32A0"/>
    <w:rsid w:val="00EC5E91"/>
    <w:rsid w:val="00ED6EC1"/>
    <w:rsid w:val="00EF6242"/>
    <w:rsid w:val="00EF7301"/>
    <w:rsid w:val="00F04E2A"/>
    <w:rsid w:val="00F15B86"/>
    <w:rsid w:val="00F21317"/>
    <w:rsid w:val="00F23523"/>
    <w:rsid w:val="00F27381"/>
    <w:rsid w:val="00F278A7"/>
    <w:rsid w:val="00F2794B"/>
    <w:rsid w:val="00F371AA"/>
    <w:rsid w:val="00F443BC"/>
    <w:rsid w:val="00F45A6E"/>
    <w:rsid w:val="00F52E58"/>
    <w:rsid w:val="00F629F1"/>
    <w:rsid w:val="00F66CD1"/>
    <w:rsid w:val="00F70127"/>
    <w:rsid w:val="00F752C7"/>
    <w:rsid w:val="00F87415"/>
    <w:rsid w:val="00F95633"/>
    <w:rsid w:val="00F95727"/>
    <w:rsid w:val="00FA2CBB"/>
    <w:rsid w:val="00FB1E2E"/>
    <w:rsid w:val="00FB7F9C"/>
    <w:rsid w:val="00FC3E62"/>
    <w:rsid w:val="00FE34B2"/>
    <w:rsid w:val="00FE41FE"/>
    <w:rsid w:val="00FE51B9"/>
    <w:rsid w:val="00FE7668"/>
    <w:rsid w:val="00FF0203"/>
    <w:rsid w:val="00FF5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74"/>
    <w:rPr>
      <w:sz w:val="18"/>
    </w:rPr>
  </w:style>
  <w:style w:type="paragraph" w:styleId="Heading1">
    <w:name w:val="heading 1"/>
    <w:basedOn w:val="Normal"/>
    <w:next w:val="Normal"/>
    <w:link w:val="Heading1Char"/>
    <w:autoRedefine/>
    <w:qFormat/>
    <w:rsid w:val="00801174"/>
    <w:pPr>
      <w:keepNext/>
      <w:numPr>
        <w:numId w:val="23"/>
      </w:numPr>
      <w:spacing w:before="240" w:after="60" w:line="240" w:lineRule="auto"/>
      <w:outlineLvl w:val="0"/>
    </w:pPr>
    <w:rPr>
      <w:rFonts w:eastAsia="MS Mincho" w:cs="Times New Roman"/>
      <w:iCs/>
      <w:color w:val="0083C1" w:themeColor="background1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801174"/>
    <w:pPr>
      <w:keepNext/>
      <w:numPr>
        <w:ilvl w:val="1"/>
        <w:numId w:val="23"/>
      </w:numPr>
      <w:spacing w:before="240" w:after="60" w:line="240" w:lineRule="auto"/>
      <w:outlineLvl w:val="1"/>
    </w:pPr>
    <w:rPr>
      <w:rFonts w:eastAsia="MS Mincho" w:cs="Times New Roman"/>
      <w:bCs/>
      <w:iCs/>
      <w:color w:val="5F5F5F" w:themeColor="background2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801174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eastAsia="MS Mincho" w:cs="Times New Roman"/>
      <w:bCs/>
      <w:color w:val="5F5F5F" w:themeColor="background2"/>
      <w:sz w:val="32"/>
      <w:szCs w:val="26"/>
    </w:rPr>
  </w:style>
  <w:style w:type="paragraph" w:styleId="Heading4">
    <w:name w:val="heading 4"/>
    <w:basedOn w:val="Normal"/>
    <w:next w:val="Normal"/>
    <w:link w:val="Heading4Char"/>
    <w:qFormat/>
    <w:rsid w:val="00801174"/>
    <w:pPr>
      <w:keepNext/>
      <w:numPr>
        <w:ilvl w:val="3"/>
        <w:numId w:val="23"/>
      </w:numPr>
      <w:spacing w:before="240" w:after="60" w:line="240" w:lineRule="auto"/>
      <w:outlineLvl w:val="3"/>
    </w:pPr>
    <w:rPr>
      <w:rFonts w:eastAsia="MS Mincho" w:cs="Times New Roman"/>
      <w:bCs/>
      <w:color w:val="0083C1" w:themeColor="background1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01174"/>
    <w:pPr>
      <w:numPr>
        <w:ilvl w:val="4"/>
        <w:numId w:val="23"/>
      </w:numPr>
      <w:spacing w:before="240" w:after="60" w:line="240" w:lineRule="auto"/>
      <w:outlineLvl w:val="4"/>
    </w:pPr>
    <w:rPr>
      <w:rFonts w:ascii="Arial" w:eastAsia="MS Mincho" w:hAnsi="Arial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01174"/>
    <w:pPr>
      <w:numPr>
        <w:ilvl w:val="5"/>
        <w:numId w:val="23"/>
      </w:numPr>
      <w:spacing w:before="240" w:after="60" w:line="240" w:lineRule="auto"/>
      <w:outlineLvl w:val="5"/>
    </w:pPr>
    <w:rPr>
      <w:rFonts w:ascii="Arial" w:eastAsia="MS Mincho" w:hAnsi="Arial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801174"/>
    <w:pPr>
      <w:numPr>
        <w:ilvl w:val="6"/>
        <w:numId w:val="23"/>
      </w:numPr>
      <w:spacing w:before="240" w:after="60" w:line="240" w:lineRule="auto"/>
      <w:outlineLvl w:val="6"/>
    </w:pPr>
    <w:rPr>
      <w:rFonts w:ascii="Arial" w:eastAsia="MS Mincho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qFormat/>
    <w:rsid w:val="00801174"/>
    <w:pPr>
      <w:numPr>
        <w:ilvl w:val="7"/>
        <w:numId w:val="23"/>
      </w:numPr>
      <w:spacing w:before="240" w:after="60" w:line="240" w:lineRule="auto"/>
      <w:outlineLvl w:val="7"/>
    </w:pPr>
    <w:rPr>
      <w:rFonts w:ascii="Arial" w:eastAsia="MS Mincho" w:hAnsi="Arial" w:cs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qFormat/>
    <w:rsid w:val="00801174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MS Mincho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A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uiPriority w:val="20"/>
    <w:qFormat/>
    <w:rsid w:val="00801174"/>
    <w:rPr>
      <w:rFonts w:ascii="Arial Black" w:hAnsi="Arial Black" w:hint="default"/>
      <w:i w:val="0"/>
      <w:iCs w:val="0"/>
      <w:sz w:val="18"/>
    </w:rPr>
  </w:style>
  <w:style w:type="character" w:customStyle="1" w:styleId="Heading1Char">
    <w:name w:val="Heading 1 Char"/>
    <w:basedOn w:val="DefaultParagraphFont"/>
    <w:link w:val="Heading1"/>
    <w:rsid w:val="00801174"/>
    <w:rPr>
      <w:rFonts w:eastAsia="MS Mincho" w:cs="Times New Roman"/>
      <w:iCs/>
      <w:color w:val="0083C1" w:themeColor="background1"/>
      <w:kern w:val="32"/>
      <w:sz w:val="40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rsid w:val="00801174"/>
    <w:rPr>
      <w:rFonts w:eastAsia="MS Mincho" w:cs="Times New Roman"/>
      <w:bCs/>
      <w:iCs/>
      <w:color w:val="5F5F5F" w:themeColor="background2"/>
      <w:sz w:val="36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801174"/>
    <w:rPr>
      <w:rFonts w:eastAsia="MS Mincho" w:cs="Times New Roman"/>
      <w:bCs/>
      <w:color w:val="5F5F5F" w:themeColor="background2"/>
      <w:sz w:val="32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801174"/>
    <w:rPr>
      <w:rFonts w:eastAsia="MS Mincho" w:cs="Times New Roman"/>
      <w:bCs/>
      <w:color w:val="0083C1" w:themeColor="background1"/>
      <w:sz w:val="24"/>
      <w:szCs w:val="24"/>
      <w:lang w:val="bg-BG"/>
    </w:rPr>
  </w:style>
  <w:style w:type="character" w:customStyle="1" w:styleId="Heading5Char">
    <w:name w:val="Heading 5 Char"/>
    <w:basedOn w:val="DefaultParagraphFont"/>
    <w:link w:val="Heading5"/>
    <w:rsid w:val="00801174"/>
    <w:rPr>
      <w:rFonts w:ascii="Arial" w:eastAsia="MS Mincho" w:hAnsi="Arial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rsid w:val="00801174"/>
    <w:rPr>
      <w:rFonts w:ascii="Arial" w:eastAsia="MS Mincho" w:hAnsi="Arial" w:cs="Times New Roman"/>
      <w:b/>
      <w:bCs/>
      <w:lang w:val="bg-BG"/>
    </w:rPr>
  </w:style>
  <w:style w:type="character" w:customStyle="1" w:styleId="Heading7Char">
    <w:name w:val="Heading 7 Char"/>
    <w:basedOn w:val="DefaultParagraphFont"/>
    <w:link w:val="Heading7"/>
    <w:rsid w:val="00801174"/>
    <w:rPr>
      <w:rFonts w:ascii="Arial" w:eastAsia="MS Mincho" w:hAnsi="Arial" w:cs="Times New Roman"/>
      <w:sz w:val="20"/>
      <w:szCs w:val="24"/>
      <w:lang w:val="bg-BG"/>
    </w:rPr>
  </w:style>
  <w:style w:type="character" w:customStyle="1" w:styleId="Heading8Char">
    <w:name w:val="Heading 8 Char"/>
    <w:basedOn w:val="DefaultParagraphFont"/>
    <w:link w:val="Heading8"/>
    <w:rsid w:val="00801174"/>
    <w:rPr>
      <w:rFonts w:ascii="Arial" w:eastAsia="MS Mincho" w:hAnsi="Arial" w:cs="Times New Roman"/>
      <w:i/>
      <w:iCs/>
      <w:sz w:val="20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801174"/>
    <w:rPr>
      <w:rFonts w:ascii="Arial" w:eastAsia="MS Mincho" w:hAnsi="Arial" w:cs="Times New Roman"/>
      <w:lang w:val="bg-BG"/>
    </w:rPr>
  </w:style>
  <w:style w:type="character" w:styleId="Strong">
    <w:name w:val="Strong"/>
    <w:basedOn w:val="DefaultParagraphFont"/>
    <w:uiPriority w:val="22"/>
    <w:qFormat/>
    <w:rsid w:val="00801174"/>
    <w:rPr>
      <w:rFonts w:asciiTheme="minorHAnsi" w:hAnsiTheme="minorHAnsi"/>
      <w:b w:val="0"/>
      <w:bCs/>
      <w:color w:val="5F5F5F" w:themeColor="background2"/>
      <w:sz w:val="22"/>
    </w:rPr>
  </w:style>
  <w:style w:type="paragraph" w:styleId="NormalWeb">
    <w:name w:val="Normal (Web)"/>
    <w:basedOn w:val="Normal"/>
    <w:uiPriority w:val="99"/>
    <w:semiHidden/>
    <w:unhideWhenUsed/>
    <w:rsid w:val="008E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E7DC9"/>
  </w:style>
  <w:style w:type="paragraph" w:customStyle="1" w:styleId="Default">
    <w:name w:val="Default"/>
    <w:uiPriority w:val="99"/>
    <w:rsid w:val="003B49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642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0854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602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kin-News@sheremarketing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6">
      <a:dk1>
        <a:srgbClr val="FFFFFF"/>
      </a:dk1>
      <a:lt1>
        <a:srgbClr val="0083C1"/>
      </a:lt1>
      <a:dk2>
        <a:srgbClr val="2D2D2F"/>
      </a:dk2>
      <a:lt2>
        <a:srgbClr val="5F5F5F"/>
      </a:lt2>
      <a:accent1>
        <a:srgbClr val="00CCFF"/>
      </a:accent1>
      <a:accent2>
        <a:srgbClr val="FFC000"/>
      </a:accent2>
      <a:accent3>
        <a:srgbClr val="E96E1F"/>
      </a:accent3>
      <a:accent4>
        <a:srgbClr val="C00000"/>
      </a:accent4>
      <a:accent5>
        <a:srgbClr val="7030A0"/>
      </a:accent5>
      <a:accent6>
        <a:srgbClr val="00B050"/>
      </a:accent6>
      <a:hlink>
        <a:srgbClr val="0083C1"/>
      </a:hlink>
      <a:folHlink>
        <a:srgbClr val="40C1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AA284-1F91-423C-ADF0-C5EBFFD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2017-02-15T09:33:00Z</cp:lastPrinted>
  <dcterms:created xsi:type="dcterms:W3CDTF">2017-02-15T06:05:00Z</dcterms:created>
  <dcterms:modified xsi:type="dcterms:W3CDTF">2017-02-15T09:39:00Z</dcterms:modified>
</cp:coreProperties>
</file>